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098F" w:rsidRPr="0056520D" w:rsidRDefault="0029098F" w:rsidP="0029098F">
      <w:pPr>
        <w:pStyle w:val="Header"/>
        <w:rPr>
          <w:lang w:val="de-DE"/>
        </w:rPr>
      </w:pPr>
      <w:r w:rsidRPr="0056520D">
        <w:rPr>
          <w:lang w:val="de-DE"/>
        </w:rPr>
        <w:t>3GPP TSG-RAN WG1</w:t>
      </w:r>
      <w:r>
        <w:rPr>
          <w:lang w:val="de-DE"/>
        </w:rPr>
        <w:t xml:space="preserve"> #98bis</w:t>
      </w:r>
      <w:r w:rsidRPr="0056520D">
        <w:rPr>
          <w:lang w:val="de-DE"/>
        </w:rPr>
        <w:tab/>
      </w:r>
      <w:r>
        <w:rPr>
          <w:lang w:val="de-DE"/>
        </w:rPr>
        <w:tab/>
        <w:t>R1-1911014</w:t>
      </w:r>
    </w:p>
    <w:p w:rsidR="0029098F" w:rsidRDefault="0029098F" w:rsidP="0029098F">
      <w:pPr>
        <w:tabs>
          <w:tab w:val="center" w:pos="4536"/>
          <w:tab w:val="right" w:pos="8280"/>
          <w:tab w:val="right" w:pos="9639"/>
        </w:tabs>
        <w:ind w:right="2"/>
        <w:rPr>
          <w:rFonts w:ascii="Arial" w:eastAsia="MS Mincho" w:hAnsi="Arial"/>
          <w:b/>
          <w:noProof/>
        </w:rPr>
      </w:pPr>
      <w:r w:rsidRPr="00366DB2">
        <w:rPr>
          <w:rFonts w:ascii="Arial" w:eastAsia="MS Mincho" w:hAnsi="Arial"/>
          <w:b/>
          <w:lang w:val="de-DE"/>
        </w:rPr>
        <w:t xml:space="preserve">Chongqing, China, Oct 14-20, 2019 </w:t>
      </w:r>
    </w:p>
    <w:p w:rsidR="0029098F" w:rsidRPr="000833FA" w:rsidRDefault="0029098F" w:rsidP="0029098F">
      <w:pPr>
        <w:pStyle w:val="Header"/>
      </w:pPr>
    </w:p>
    <w:p w:rsidR="0029098F" w:rsidRPr="0003368D" w:rsidRDefault="0029098F" w:rsidP="0029098F">
      <w:pPr>
        <w:pStyle w:val="Header"/>
        <w:tabs>
          <w:tab w:val="clear" w:pos="4536"/>
          <w:tab w:val="left" w:pos="1800"/>
        </w:tabs>
        <w:ind w:left="1800" w:hanging="1800"/>
      </w:pPr>
      <w:r w:rsidRPr="0003368D">
        <w:t>Source:</w:t>
      </w:r>
      <w:r w:rsidRPr="0003368D">
        <w:tab/>
        <w:t>Ericsson</w:t>
      </w:r>
    </w:p>
    <w:p w:rsidR="0029098F" w:rsidRPr="00E220C0" w:rsidRDefault="0029098F" w:rsidP="0029098F">
      <w:pPr>
        <w:pStyle w:val="Header"/>
        <w:tabs>
          <w:tab w:val="clear" w:pos="4536"/>
          <w:tab w:val="left" w:pos="1800"/>
        </w:tabs>
      </w:pPr>
      <w:r w:rsidRPr="0003368D">
        <w:t>Title:</w:t>
      </w:r>
      <w:bookmarkStart w:id="0" w:name="Title"/>
      <w:bookmarkEnd w:id="0"/>
      <w:r w:rsidRPr="0003368D">
        <w:tab/>
      </w:r>
      <w:r>
        <w:t>Enhancements to single-</w:t>
      </w:r>
      <w:proofErr w:type="spellStart"/>
      <w:r>
        <w:t>tx</w:t>
      </w:r>
      <w:proofErr w:type="spellEnd"/>
      <w:r>
        <w:t xml:space="preserve"> operation for EN-DC</w:t>
      </w:r>
    </w:p>
    <w:p w:rsidR="0029098F" w:rsidRPr="00E220C0" w:rsidRDefault="0029098F" w:rsidP="0029098F">
      <w:pPr>
        <w:pStyle w:val="Header"/>
        <w:tabs>
          <w:tab w:val="left" w:pos="1800"/>
        </w:tabs>
      </w:pPr>
      <w:r w:rsidRPr="00E220C0">
        <w:t>Agenda Item:</w:t>
      </w:r>
      <w:bookmarkStart w:id="1" w:name="Source"/>
      <w:bookmarkEnd w:id="1"/>
      <w:r w:rsidRPr="00E220C0">
        <w:tab/>
      </w:r>
      <w:r>
        <w:t>7.2.13.2</w:t>
      </w:r>
    </w:p>
    <w:p w:rsidR="0029098F" w:rsidRPr="0003368D" w:rsidRDefault="0029098F" w:rsidP="0029098F">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29098F" w:rsidRPr="002100D2" w:rsidRDefault="0029098F" w:rsidP="0029098F">
      <w:pPr>
        <w:pBdr>
          <w:bottom w:val="single" w:sz="4" w:space="1" w:color="auto"/>
        </w:pBdr>
        <w:tabs>
          <w:tab w:val="left" w:pos="2552"/>
        </w:tabs>
      </w:pPr>
    </w:p>
    <w:p w:rsidR="0029098F" w:rsidRDefault="0029098F" w:rsidP="0029098F">
      <w:pPr>
        <w:pStyle w:val="Heading1"/>
        <w:spacing w:before="180"/>
        <w:ind w:left="562" w:hanging="562"/>
      </w:pPr>
      <w:r>
        <w:t>Introduction</w:t>
      </w:r>
    </w:p>
    <w:p w:rsidR="0029098F" w:rsidRDefault="0029098F" w:rsidP="0029098F">
      <w:pPr>
        <w:rPr>
          <w:lang w:val="en-AU"/>
        </w:rPr>
      </w:pPr>
      <w:bookmarkStart w:id="3" w:name="_Ref178064866"/>
      <w:r>
        <w:rPr>
          <w:lang w:val="en-AU"/>
        </w:rPr>
        <w:t>Improving single-</w:t>
      </w:r>
      <w:proofErr w:type="spellStart"/>
      <w:r>
        <w:rPr>
          <w:lang w:val="en-AU"/>
        </w:rPr>
        <w:t>tx</w:t>
      </w:r>
      <w:proofErr w:type="spellEnd"/>
      <w:r>
        <w:rPr>
          <w:lang w:val="en-AU"/>
        </w:rPr>
        <w:t xml:space="preserve"> operation for EN-DC is one of the objectives for the MR-DC WI [1] and in RAN1 NR Ad-hoc 1901, the following was concluded</w:t>
      </w:r>
    </w:p>
    <w:p w:rsidR="0029098F" w:rsidRDefault="0029098F" w:rsidP="0029098F">
      <w:pPr>
        <w:rPr>
          <w:szCs w:val="20"/>
        </w:rPr>
      </w:pPr>
    </w:p>
    <w:p w:rsidR="0029098F" w:rsidRPr="003439B1" w:rsidRDefault="0029098F" w:rsidP="0029098F">
      <w:pPr>
        <w:rPr>
          <w:szCs w:val="20"/>
        </w:rPr>
      </w:pPr>
      <w:r w:rsidRPr="003439B1">
        <w:rPr>
          <w:szCs w:val="20"/>
          <w:highlight w:val="green"/>
        </w:rPr>
        <w:t>Agreements</w:t>
      </w:r>
      <w:r w:rsidRPr="003439B1">
        <w:rPr>
          <w:szCs w:val="20"/>
        </w:rPr>
        <w:t>:</w:t>
      </w:r>
    </w:p>
    <w:p w:rsidR="0029098F" w:rsidRPr="003439B1" w:rsidRDefault="0029098F" w:rsidP="0029098F">
      <w:pPr>
        <w:numPr>
          <w:ilvl w:val="0"/>
          <w:numId w:val="4"/>
        </w:numPr>
        <w:rPr>
          <w:szCs w:val="20"/>
        </w:rPr>
      </w:pPr>
      <w:r w:rsidRPr="003439B1">
        <w:rPr>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3439B1">
        <w:rPr>
          <w:szCs w:val="20"/>
        </w:rPr>
        <w:t>eIMTA</w:t>
      </w:r>
      <w:proofErr w:type="spellEnd"/>
      <w:r w:rsidRPr="003439B1">
        <w:rPr>
          <w:szCs w:val="20"/>
        </w:rPr>
        <w:t xml:space="preserve"> solution, etc.</w:t>
      </w:r>
    </w:p>
    <w:p w:rsidR="0029098F" w:rsidRDefault="0029098F" w:rsidP="0029098F">
      <w:pPr>
        <w:pStyle w:val="BodyText"/>
        <w:rPr>
          <w:lang w:val="en-AU"/>
        </w:rPr>
      </w:pPr>
    </w:p>
    <w:p w:rsidR="0029098F" w:rsidRDefault="0029098F" w:rsidP="0029098F">
      <w:pPr>
        <w:pStyle w:val="BodyText"/>
        <w:rPr>
          <w:lang w:val="en-AU"/>
        </w:rPr>
      </w:pPr>
      <w:r>
        <w:rPr>
          <w:lang w:val="en-AU"/>
        </w:rPr>
        <w:t>In this document we discuss some enhancements related to single-</w:t>
      </w:r>
      <w:proofErr w:type="spellStart"/>
      <w:r>
        <w:rPr>
          <w:lang w:val="en-AU"/>
        </w:rPr>
        <w:t>tx</w:t>
      </w:r>
      <w:proofErr w:type="spellEnd"/>
      <w:r>
        <w:rPr>
          <w:lang w:val="en-AU"/>
        </w:rPr>
        <w:t xml:space="preserve"> operation. </w:t>
      </w:r>
    </w:p>
    <w:p w:rsidR="0029098F" w:rsidRDefault="0029098F" w:rsidP="0029098F">
      <w:pPr>
        <w:pStyle w:val="BodyText"/>
        <w:rPr>
          <w:lang w:val="en-AU"/>
        </w:rPr>
      </w:pPr>
      <w:r>
        <w:rPr>
          <w:lang w:val="en-AU"/>
        </w:rPr>
        <w:t>We also discuss the new objective added in RAN#84.</w:t>
      </w:r>
    </w:p>
    <w:p w:rsidR="0029098F" w:rsidRDefault="0029098F" w:rsidP="0029098F">
      <w:pPr>
        <w:pStyle w:val="BodyText"/>
        <w:rPr>
          <w:lang w:val="en-AU"/>
        </w:rPr>
      </w:pPr>
      <w:r>
        <w:rPr>
          <w:lang w:val="en-AU"/>
        </w:rPr>
        <w:t>Note: This document is resubmission of R1-1909143.</w:t>
      </w:r>
    </w:p>
    <w:bookmarkEnd w:id="3"/>
    <w:p w:rsidR="0029098F" w:rsidRDefault="0029098F" w:rsidP="0029098F">
      <w:pPr>
        <w:pStyle w:val="Heading1"/>
      </w:pPr>
      <w:r>
        <w:t>Discussion</w:t>
      </w:r>
    </w:p>
    <w:p w:rsidR="0029098F" w:rsidRPr="00836E6C" w:rsidRDefault="0029098F" w:rsidP="0029098F">
      <w:pPr>
        <w:pStyle w:val="Heading2"/>
        <w:rPr>
          <w:u w:val="single"/>
        </w:rPr>
      </w:pPr>
      <w:r>
        <w:rPr>
          <w:u w:val="single"/>
        </w:rPr>
        <w:t>Improvements to PRACH transmission</w:t>
      </w:r>
    </w:p>
    <w:p w:rsidR="0029098F" w:rsidRDefault="0029098F" w:rsidP="0029098F"/>
    <w:p w:rsidR="0029098F" w:rsidRDefault="0029098F" w:rsidP="0029098F">
      <w:pPr>
        <w:jc w:val="both"/>
      </w:pPr>
      <w:r>
        <w:t xml:space="preserve">For a UE configured with Case 1 HARQ timing, in Rel15 PRACH transmissions are only allowed in subframes designated as UL in the reference TDD configuration. This creates a network restriction for provisioning PRACH resources. </w:t>
      </w:r>
    </w:p>
    <w:p w:rsidR="0029098F" w:rsidRDefault="0029098F" w:rsidP="0029098F">
      <w:pPr>
        <w:jc w:val="both"/>
      </w:pPr>
    </w:p>
    <w:p w:rsidR="0029098F" w:rsidRDefault="0029098F" w:rsidP="0029098F">
      <w:pPr>
        <w:jc w:val="both"/>
        <w:rPr>
          <w:iCs/>
        </w:rPr>
      </w:pPr>
      <w:r>
        <w:t xml:space="preserve">Consider an FDD cell with a mix of EN-DC UEs and non-EN-DC UEs. If the EN-DC UEs are configured with TDD UL/DL pattern given by </w:t>
      </w:r>
      <w:r>
        <w:rPr>
          <w:i/>
          <w:iCs/>
        </w:rPr>
        <w:t xml:space="preserve">subframe-Assignment-r15 </w:t>
      </w:r>
      <w:r>
        <w:rPr>
          <w:iCs/>
        </w:rPr>
        <w:t xml:space="preserve">via dedicated RRC, then they can only transmit RACH in the UL subframes given by that pattern. This limits the flexibility for the NW to provision RACH resources for all UEs in the cell (i.e., both EN-DC and non EN-DC UEs) as it </w:t>
      </w:r>
      <w:proofErr w:type="gramStart"/>
      <w:r>
        <w:rPr>
          <w:iCs/>
        </w:rPr>
        <w:t>has to</w:t>
      </w:r>
      <w:proofErr w:type="gramEnd"/>
      <w:r>
        <w:rPr>
          <w:iCs/>
        </w:rPr>
        <w:t xml:space="preserve"> match the UL subframes provisioned for PRACH (i.e., the provided via SIB) with the UL subframes given by the </w:t>
      </w:r>
      <w:r>
        <w:rPr>
          <w:i/>
          <w:iCs/>
        </w:rPr>
        <w:t xml:space="preserve">subframe-Assignment-r15 </w:t>
      </w:r>
      <w:r>
        <w:rPr>
          <w:iCs/>
        </w:rPr>
        <w:t xml:space="preserve">TDD pattern. This problem becomes even worse if </w:t>
      </w:r>
      <w:r w:rsidRPr="007B5210">
        <w:rPr>
          <w:i/>
          <w:iCs/>
        </w:rPr>
        <w:t>harq-Offset-r15</w:t>
      </w:r>
      <w:r>
        <w:rPr>
          <w:iCs/>
        </w:rPr>
        <w:t xml:space="preserve"> field is used to spread the UL load between different EN-DC case1 HARQ timing UEs. </w:t>
      </w:r>
    </w:p>
    <w:p w:rsidR="0029098F" w:rsidRDefault="0029098F" w:rsidP="0029098F">
      <w:pPr>
        <w:jc w:val="both"/>
      </w:pPr>
    </w:p>
    <w:p w:rsidR="0029098F" w:rsidRDefault="0029098F" w:rsidP="0029098F">
      <w:pPr>
        <w:jc w:val="both"/>
      </w:pPr>
      <w:r>
        <w:t>Since PRACH transmissions are rare, the straightforward solution to address the above issue would be to remove the limitation from Rel15 and let the UE transmit PRACH in any UL subframe (for FDD case). In the rare occasions where there is a colliding NR UL transmission for the UE, the UE can be allowed to prioritize the PRACH transmission and drop NR.</w:t>
      </w:r>
    </w:p>
    <w:p w:rsidR="0029098F" w:rsidRDefault="0029098F" w:rsidP="0029098F">
      <w:pPr>
        <w:jc w:val="both"/>
      </w:pPr>
    </w:p>
    <w:p w:rsidR="0029098F" w:rsidRDefault="0029098F" w:rsidP="0029098F">
      <w:pPr>
        <w:jc w:val="both"/>
        <w:rPr>
          <w:b/>
          <w:u w:val="single"/>
        </w:rPr>
      </w:pPr>
      <w:r w:rsidRPr="00D154CE">
        <w:rPr>
          <w:b/>
          <w:u w:val="single"/>
        </w:rPr>
        <w:t>Proposal</w:t>
      </w:r>
      <w:r>
        <w:rPr>
          <w:b/>
          <w:u w:val="single"/>
        </w:rPr>
        <w:t xml:space="preserve"> 1</w:t>
      </w:r>
    </w:p>
    <w:p w:rsidR="0029098F" w:rsidRDefault="0029098F" w:rsidP="0029098F">
      <w:pPr>
        <w:jc w:val="both"/>
        <w:rPr>
          <w:b/>
          <w:u w:val="single"/>
        </w:rPr>
      </w:pPr>
    </w:p>
    <w:p w:rsidR="0029098F" w:rsidRPr="00B2308A" w:rsidRDefault="0029098F" w:rsidP="0029098F">
      <w:pPr>
        <w:pStyle w:val="ListParagraph"/>
        <w:numPr>
          <w:ilvl w:val="0"/>
          <w:numId w:val="3"/>
        </w:numPr>
        <w:jc w:val="both"/>
        <w:rPr>
          <w:b/>
          <w:u w:val="single"/>
        </w:rPr>
      </w:pPr>
      <w:r>
        <w:t>Following enhancement for PRACH should be supported</w:t>
      </w:r>
    </w:p>
    <w:p w:rsidR="0029098F" w:rsidRPr="00786B5A" w:rsidRDefault="0029098F" w:rsidP="0029098F">
      <w:pPr>
        <w:pStyle w:val="ListParagraph"/>
        <w:numPr>
          <w:ilvl w:val="1"/>
          <w:numId w:val="3"/>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rsidR="0029098F" w:rsidRPr="00A86798" w:rsidRDefault="0029098F" w:rsidP="0029098F">
      <w:pPr>
        <w:pStyle w:val="ListParagraph"/>
        <w:numPr>
          <w:ilvl w:val="2"/>
          <w:numId w:val="3"/>
        </w:numPr>
        <w:jc w:val="both"/>
        <w:rPr>
          <w:b/>
          <w:u w:val="single"/>
        </w:rPr>
      </w:pPr>
      <w:r>
        <w:t>If the UE’s LTE PRACH transmission collides with an NR UL transmission, PRACH transmission is prioritized.</w:t>
      </w:r>
    </w:p>
    <w:p w:rsidR="0029098F" w:rsidRPr="00836E6C" w:rsidRDefault="0029098F" w:rsidP="0029098F">
      <w:pPr>
        <w:pStyle w:val="Heading2"/>
        <w:rPr>
          <w:u w:val="single"/>
        </w:rPr>
      </w:pPr>
      <w:r>
        <w:rPr>
          <w:u w:val="single"/>
        </w:rPr>
        <w:t xml:space="preserve">Case 1 HARQ timing details for TDD </w:t>
      </w:r>
      <w:proofErr w:type="spellStart"/>
      <w:r>
        <w:rPr>
          <w:u w:val="single"/>
        </w:rPr>
        <w:t>Pcell</w:t>
      </w:r>
      <w:proofErr w:type="spellEnd"/>
    </w:p>
    <w:p w:rsidR="0029098F" w:rsidRDefault="0029098F" w:rsidP="0029098F">
      <w:pPr>
        <w:jc w:val="both"/>
      </w:pPr>
    </w:p>
    <w:p w:rsidR="0029098F" w:rsidRDefault="0029098F" w:rsidP="0029098F">
      <w:pPr>
        <w:jc w:val="both"/>
      </w:pPr>
    </w:p>
    <w:p w:rsidR="0029098F" w:rsidRDefault="0029098F" w:rsidP="0029098F">
      <w:pPr>
        <w:jc w:val="both"/>
      </w:pPr>
      <w:r>
        <w:t>In RAN1#96 the following was agreed</w:t>
      </w:r>
    </w:p>
    <w:p w:rsidR="0029098F" w:rsidRDefault="0029098F" w:rsidP="0029098F">
      <w:pPr>
        <w:jc w:val="both"/>
      </w:pPr>
    </w:p>
    <w:p w:rsidR="0029098F" w:rsidRPr="00112AD7" w:rsidRDefault="0029098F" w:rsidP="0029098F">
      <w:pPr>
        <w:ind w:left="1440" w:hanging="1440"/>
        <w:rPr>
          <w:highlight w:val="green"/>
          <w:lang w:eastAsia="x-none"/>
        </w:rPr>
      </w:pPr>
      <w:r w:rsidRPr="00112AD7">
        <w:rPr>
          <w:highlight w:val="green"/>
          <w:lang w:eastAsia="x-none"/>
        </w:rPr>
        <w:lastRenderedPageBreak/>
        <w:t>Agreements:</w:t>
      </w:r>
    </w:p>
    <w:p w:rsidR="0029098F" w:rsidRPr="00F3334B" w:rsidRDefault="0029098F" w:rsidP="0029098F">
      <w:pPr>
        <w:jc w:val="both"/>
        <w:rPr>
          <w:i/>
          <w:szCs w:val="22"/>
          <w:lang w:eastAsia="zh-CN"/>
        </w:rPr>
      </w:pPr>
      <w:r w:rsidRPr="00F3334B">
        <w:rPr>
          <w:i/>
          <w:szCs w:val="22"/>
        </w:rPr>
        <w:t xml:space="preserve">For single </w:t>
      </w:r>
      <w:proofErr w:type="spellStart"/>
      <w:r w:rsidRPr="00F3334B">
        <w:rPr>
          <w:i/>
          <w:szCs w:val="22"/>
        </w:rPr>
        <w:t>tx</w:t>
      </w:r>
      <w:proofErr w:type="spellEnd"/>
      <w:r w:rsidRPr="00F3334B">
        <w:rPr>
          <w:i/>
          <w:szCs w:val="22"/>
        </w:rPr>
        <w:t xml:space="preserve"> switched UL in EN-DC with TDD </w:t>
      </w:r>
      <w:proofErr w:type="spellStart"/>
      <w:r w:rsidRPr="00F3334B">
        <w:rPr>
          <w:i/>
          <w:szCs w:val="22"/>
        </w:rPr>
        <w:t>PCell</w:t>
      </w:r>
      <w:proofErr w:type="spellEnd"/>
      <w:r w:rsidRPr="00F3334B">
        <w:rPr>
          <w:i/>
          <w:szCs w:val="22"/>
        </w:rPr>
        <w:t xml:space="preserve">, the LTE </w:t>
      </w:r>
      <w:proofErr w:type="spellStart"/>
      <w:r w:rsidRPr="00F3334B">
        <w:rPr>
          <w:i/>
          <w:szCs w:val="22"/>
        </w:rPr>
        <w:t>PCell</w:t>
      </w:r>
      <w:proofErr w:type="spellEnd"/>
      <w:r w:rsidRPr="00F3334B">
        <w:rPr>
          <w:i/>
          <w:szCs w:val="22"/>
        </w:rPr>
        <w:t xml:space="preserve"> can be configured</w:t>
      </w:r>
      <w:r w:rsidRPr="00F3334B">
        <w:rPr>
          <w:i/>
          <w:szCs w:val="22"/>
          <w:lang w:eastAsia="zh-CN"/>
        </w:rPr>
        <w:t xml:space="preserve"> with DL-reference UL/DL config</w:t>
      </w:r>
    </w:p>
    <w:p w:rsidR="0029098F" w:rsidRPr="00F3334B" w:rsidRDefault="0029098F" w:rsidP="0029098F">
      <w:pPr>
        <w:pStyle w:val="ListParagraph"/>
        <w:numPr>
          <w:ilvl w:val="0"/>
          <w:numId w:val="5"/>
        </w:numPr>
        <w:contextualSpacing w:val="0"/>
        <w:jc w:val="both"/>
        <w:rPr>
          <w:i/>
          <w:szCs w:val="22"/>
          <w:lang w:eastAsia="zh-CN"/>
        </w:rPr>
      </w:pPr>
      <w:r w:rsidRPr="00F3334B">
        <w:rPr>
          <w:i/>
          <w:szCs w:val="22"/>
          <w:lang w:eastAsia="zh-CN"/>
        </w:rPr>
        <w:t>For DL HARQ timing, the DL-reference UL/DL configuration is applied</w:t>
      </w:r>
    </w:p>
    <w:p w:rsidR="0029098F" w:rsidRPr="00F3334B" w:rsidRDefault="0029098F" w:rsidP="0029098F">
      <w:pPr>
        <w:pStyle w:val="ListParagraph"/>
        <w:numPr>
          <w:ilvl w:val="1"/>
          <w:numId w:val="5"/>
        </w:numPr>
        <w:contextualSpacing w:val="0"/>
        <w:jc w:val="both"/>
        <w:rPr>
          <w:i/>
          <w:color w:val="000000"/>
          <w:szCs w:val="22"/>
          <w:lang w:eastAsia="zh-CN"/>
        </w:rPr>
      </w:pPr>
      <w:r w:rsidRPr="00F3334B">
        <w:rPr>
          <w:i/>
          <w:color w:val="000000"/>
          <w:szCs w:val="22"/>
          <w:lang w:eastAsia="zh-CN"/>
        </w:rPr>
        <w:t>Only LTE TDD Pattern 2, 4, 5 can be used as DL-reference</w:t>
      </w:r>
    </w:p>
    <w:p w:rsidR="0029098F" w:rsidRPr="00F3334B" w:rsidRDefault="0029098F" w:rsidP="0029098F">
      <w:pPr>
        <w:pStyle w:val="ListParagraph"/>
        <w:numPr>
          <w:ilvl w:val="0"/>
          <w:numId w:val="5"/>
        </w:numPr>
        <w:contextualSpacing w:val="0"/>
        <w:jc w:val="both"/>
        <w:rPr>
          <w:i/>
          <w:szCs w:val="22"/>
          <w:lang w:eastAsia="zh-CN"/>
        </w:rPr>
      </w:pPr>
      <w:r w:rsidRPr="00F3334B">
        <w:rPr>
          <w:i/>
          <w:szCs w:val="22"/>
          <w:lang w:eastAsia="zh-CN"/>
        </w:rPr>
        <w:t xml:space="preserve">For UL HARQ timing is the same as without reference configuration for </w:t>
      </w:r>
      <w:proofErr w:type="spellStart"/>
      <w:r w:rsidRPr="00F3334B">
        <w:rPr>
          <w:i/>
          <w:szCs w:val="22"/>
          <w:lang w:eastAsia="zh-CN"/>
        </w:rPr>
        <w:t>PCell’s</w:t>
      </w:r>
      <w:proofErr w:type="spellEnd"/>
      <w:r w:rsidRPr="00F3334B">
        <w:rPr>
          <w:i/>
          <w:szCs w:val="22"/>
          <w:lang w:eastAsia="zh-CN"/>
        </w:rPr>
        <w:t xml:space="preserve"> UL/DL configuration other than TDD pattern 0/6, </w:t>
      </w:r>
    </w:p>
    <w:p w:rsidR="0029098F" w:rsidRPr="00F3334B" w:rsidRDefault="0029098F" w:rsidP="0029098F">
      <w:pPr>
        <w:pStyle w:val="ListParagraph"/>
        <w:numPr>
          <w:ilvl w:val="1"/>
          <w:numId w:val="5"/>
        </w:numPr>
        <w:contextualSpacing w:val="0"/>
        <w:jc w:val="both"/>
        <w:rPr>
          <w:i/>
          <w:color w:val="000000"/>
          <w:szCs w:val="22"/>
          <w:lang w:eastAsia="zh-CN"/>
        </w:rPr>
      </w:pPr>
      <w:r w:rsidRPr="00F3334B">
        <w:rPr>
          <w:i/>
          <w:color w:val="000000"/>
          <w:szCs w:val="22"/>
          <w:lang w:eastAsia="zh-CN"/>
        </w:rPr>
        <w:t xml:space="preserve">FFS: whether/how to support TDD pattern 0/6 for LTE </w:t>
      </w:r>
      <w:proofErr w:type="spellStart"/>
      <w:r w:rsidRPr="00F3334B">
        <w:rPr>
          <w:i/>
          <w:color w:val="000000"/>
          <w:szCs w:val="22"/>
          <w:lang w:eastAsia="zh-CN"/>
        </w:rPr>
        <w:t>PCell</w:t>
      </w:r>
      <w:proofErr w:type="spellEnd"/>
    </w:p>
    <w:p w:rsidR="0029098F" w:rsidRPr="00F3334B" w:rsidRDefault="0029098F" w:rsidP="0029098F">
      <w:pPr>
        <w:pStyle w:val="ListParagraph"/>
        <w:numPr>
          <w:ilvl w:val="0"/>
          <w:numId w:val="5"/>
        </w:numPr>
        <w:contextualSpacing w:val="0"/>
        <w:jc w:val="both"/>
        <w:rPr>
          <w:i/>
          <w:szCs w:val="22"/>
          <w:lang w:eastAsia="zh-CN"/>
        </w:rPr>
      </w:pPr>
      <w:r w:rsidRPr="00F3334B">
        <w:rPr>
          <w:i/>
          <w:szCs w:val="22"/>
          <w:lang w:eastAsia="zh-CN"/>
        </w:rPr>
        <w:t>UE is not expected to transmit on the MCG and SCG simultaneously</w:t>
      </w:r>
    </w:p>
    <w:p w:rsidR="0029098F" w:rsidRPr="00F3334B" w:rsidRDefault="0029098F" w:rsidP="0029098F">
      <w:pPr>
        <w:pStyle w:val="ListParagraph"/>
        <w:numPr>
          <w:ilvl w:val="0"/>
          <w:numId w:val="5"/>
        </w:numPr>
        <w:contextualSpacing w:val="0"/>
        <w:jc w:val="both"/>
        <w:rPr>
          <w:i/>
          <w:szCs w:val="22"/>
          <w:lang w:eastAsia="zh-CN"/>
        </w:rPr>
      </w:pPr>
      <w:r w:rsidRPr="00F3334B">
        <w:rPr>
          <w:i/>
          <w:szCs w:val="22"/>
          <w:lang w:eastAsia="zh-CN"/>
        </w:rPr>
        <w:t>For type 2 UE (</w:t>
      </w:r>
      <w:r w:rsidRPr="00F3334B">
        <w:rPr>
          <w:i/>
          <w:color w:val="000000"/>
          <w:szCs w:val="22"/>
          <w:lang w:eastAsia="zh-CN"/>
        </w:rPr>
        <w:t>i.e., UE without dynamic power sharing capability)</w:t>
      </w:r>
      <w:r w:rsidRPr="00F3334B">
        <w:rPr>
          <w:i/>
          <w:szCs w:val="22"/>
          <w:lang w:eastAsia="zh-CN"/>
        </w:rPr>
        <w:t>:</w:t>
      </w:r>
    </w:p>
    <w:p w:rsidR="0029098F" w:rsidRPr="00F3334B" w:rsidRDefault="0029098F" w:rsidP="0029098F">
      <w:pPr>
        <w:pStyle w:val="ListParagraph"/>
        <w:numPr>
          <w:ilvl w:val="1"/>
          <w:numId w:val="5"/>
        </w:numPr>
        <w:contextualSpacing w:val="0"/>
        <w:jc w:val="both"/>
        <w:rPr>
          <w:i/>
          <w:szCs w:val="22"/>
          <w:lang w:eastAsia="zh-CN"/>
        </w:rPr>
      </w:pPr>
      <w:r w:rsidRPr="00F3334B">
        <w:rPr>
          <w:i/>
          <w:szCs w:val="22"/>
          <w:lang w:eastAsia="zh-CN"/>
        </w:rPr>
        <w:t xml:space="preserve">UE </w:t>
      </w:r>
      <w:proofErr w:type="gramStart"/>
      <w:r w:rsidRPr="00F3334B">
        <w:rPr>
          <w:i/>
          <w:szCs w:val="22"/>
          <w:lang w:eastAsia="zh-CN"/>
        </w:rPr>
        <w:t>is allowed to</w:t>
      </w:r>
      <w:proofErr w:type="gramEnd"/>
      <w:r w:rsidRPr="00F3334B">
        <w:rPr>
          <w:i/>
          <w:szCs w:val="22"/>
          <w:lang w:eastAsia="zh-CN"/>
        </w:rPr>
        <w:t xml:space="preserve"> transmit LTE PUSCH only in the UL subframes designated as UL in the DL-reference configuration</w:t>
      </w:r>
    </w:p>
    <w:p w:rsidR="0029098F" w:rsidRPr="00F3334B" w:rsidRDefault="0029098F" w:rsidP="0029098F">
      <w:pPr>
        <w:pStyle w:val="ListParagraph"/>
        <w:numPr>
          <w:ilvl w:val="0"/>
          <w:numId w:val="5"/>
        </w:numPr>
        <w:contextualSpacing w:val="0"/>
        <w:jc w:val="both"/>
        <w:rPr>
          <w:i/>
          <w:szCs w:val="22"/>
          <w:lang w:eastAsia="zh-CN"/>
        </w:rPr>
      </w:pPr>
      <w:r w:rsidRPr="00F3334B">
        <w:rPr>
          <w:i/>
          <w:szCs w:val="22"/>
          <w:lang w:eastAsia="zh-CN"/>
        </w:rPr>
        <w:t>For type 1 UE (</w:t>
      </w:r>
      <w:r w:rsidRPr="00F3334B">
        <w:rPr>
          <w:i/>
          <w:color w:val="000000"/>
          <w:szCs w:val="22"/>
          <w:lang w:eastAsia="zh-CN"/>
        </w:rPr>
        <w:t>i.e., UE with dynamic power sharing capability</w:t>
      </w:r>
      <w:r w:rsidRPr="00F3334B">
        <w:rPr>
          <w:i/>
          <w:szCs w:val="22"/>
          <w:lang w:eastAsia="zh-CN"/>
        </w:rPr>
        <w:t xml:space="preserve">): </w:t>
      </w:r>
    </w:p>
    <w:p w:rsidR="0029098F" w:rsidRPr="00F3334B" w:rsidRDefault="0029098F" w:rsidP="0029098F">
      <w:pPr>
        <w:pStyle w:val="ListParagraph"/>
        <w:numPr>
          <w:ilvl w:val="1"/>
          <w:numId w:val="5"/>
        </w:numPr>
        <w:contextualSpacing w:val="0"/>
        <w:jc w:val="both"/>
        <w:rPr>
          <w:i/>
          <w:szCs w:val="22"/>
          <w:lang w:eastAsia="zh-CN"/>
        </w:rPr>
      </w:pPr>
      <w:r w:rsidRPr="00F3334B">
        <w:rPr>
          <w:i/>
          <w:szCs w:val="22"/>
          <w:lang w:eastAsia="zh-CN"/>
        </w:rPr>
        <w:t>The UE should not assume that LTE PUSCH is only scheduled in the UL subframes associated configured by the DL-reference configuration</w:t>
      </w:r>
    </w:p>
    <w:p w:rsidR="0029098F" w:rsidRPr="00F3334B" w:rsidRDefault="0029098F" w:rsidP="0029098F">
      <w:pPr>
        <w:pStyle w:val="ListParagraph"/>
        <w:numPr>
          <w:ilvl w:val="1"/>
          <w:numId w:val="5"/>
        </w:numPr>
        <w:contextualSpacing w:val="0"/>
        <w:jc w:val="both"/>
        <w:rPr>
          <w:i/>
          <w:szCs w:val="22"/>
          <w:lang w:eastAsia="zh-CN"/>
        </w:rPr>
      </w:pPr>
      <w:r w:rsidRPr="00F3334B">
        <w:rPr>
          <w:i/>
          <w:szCs w:val="22"/>
          <w:lang w:eastAsia="zh-CN"/>
        </w:rPr>
        <w:t>The UE should not assume that NR PUSCH is only scheduled in the remaining UL subframes other than those configured by the DL-reference configuration</w:t>
      </w:r>
    </w:p>
    <w:p w:rsidR="0029098F" w:rsidRPr="00F3334B" w:rsidRDefault="0029098F" w:rsidP="0029098F">
      <w:pPr>
        <w:pStyle w:val="ListParagraph"/>
        <w:numPr>
          <w:ilvl w:val="1"/>
          <w:numId w:val="5"/>
        </w:numPr>
        <w:contextualSpacing w:val="0"/>
        <w:jc w:val="both"/>
        <w:rPr>
          <w:i/>
          <w:szCs w:val="22"/>
          <w:lang w:eastAsia="zh-CN"/>
        </w:rPr>
      </w:pPr>
      <w:r w:rsidRPr="00F3334B">
        <w:rPr>
          <w:i/>
          <w:szCs w:val="22"/>
          <w:lang w:eastAsia="zh-CN"/>
        </w:rPr>
        <w:t xml:space="preserve">If there is a collision, </w:t>
      </w:r>
    </w:p>
    <w:p w:rsidR="0029098F" w:rsidRPr="00F3334B" w:rsidRDefault="0029098F" w:rsidP="0029098F">
      <w:pPr>
        <w:pStyle w:val="ListParagraph"/>
        <w:numPr>
          <w:ilvl w:val="2"/>
          <w:numId w:val="5"/>
        </w:numPr>
        <w:contextualSpacing w:val="0"/>
        <w:jc w:val="both"/>
        <w:rPr>
          <w:i/>
          <w:szCs w:val="22"/>
          <w:lang w:eastAsia="zh-CN"/>
        </w:rPr>
      </w:pPr>
      <w:r w:rsidRPr="00F3334B">
        <w:rPr>
          <w:i/>
          <w:szCs w:val="22"/>
          <w:lang w:eastAsia="zh-CN"/>
        </w:rPr>
        <w:t>In the UL subframes designated as UL in the DL-reference configuration, UE is expected to drop NR PUSCH</w:t>
      </w:r>
    </w:p>
    <w:p w:rsidR="0029098F" w:rsidRPr="00F3334B" w:rsidRDefault="0029098F" w:rsidP="0029098F">
      <w:pPr>
        <w:pStyle w:val="ListParagraph"/>
        <w:numPr>
          <w:ilvl w:val="2"/>
          <w:numId w:val="5"/>
        </w:numPr>
        <w:contextualSpacing w:val="0"/>
        <w:jc w:val="both"/>
        <w:rPr>
          <w:i/>
          <w:szCs w:val="22"/>
          <w:lang w:eastAsia="zh-CN"/>
        </w:rPr>
      </w:pPr>
      <w:r w:rsidRPr="00F3334B">
        <w:rPr>
          <w:i/>
          <w:szCs w:val="22"/>
          <w:lang w:eastAsia="zh-CN"/>
        </w:rPr>
        <w:t xml:space="preserve">In other UL subframes, UE </w:t>
      </w:r>
      <w:proofErr w:type="spellStart"/>
      <w:r w:rsidRPr="00F3334B">
        <w:rPr>
          <w:i/>
          <w:szCs w:val="22"/>
          <w:lang w:eastAsia="zh-CN"/>
        </w:rPr>
        <w:t>behaviour</w:t>
      </w:r>
      <w:proofErr w:type="spellEnd"/>
      <w:r w:rsidRPr="00F3334B">
        <w:rPr>
          <w:i/>
          <w:szCs w:val="22"/>
          <w:lang w:eastAsia="zh-CN"/>
        </w:rPr>
        <w:t xml:space="preserve"> to be expected to </w:t>
      </w:r>
      <w:proofErr w:type="gramStart"/>
      <w:r w:rsidRPr="00F3334B">
        <w:rPr>
          <w:i/>
          <w:szCs w:val="22"/>
          <w:lang w:eastAsia="zh-CN"/>
        </w:rPr>
        <w:t>specified</w:t>
      </w:r>
      <w:proofErr w:type="gramEnd"/>
      <w:r w:rsidRPr="00F3334B">
        <w:rPr>
          <w:i/>
          <w:szCs w:val="22"/>
          <w:lang w:eastAsia="zh-CN"/>
        </w:rPr>
        <w:t xml:space="preserve"> with details FFS</w:t>
      </w:r>
    </w:p>
    <w:p w:rsidR="0029098F" w:rsidRPr="00F3334B" w:rsidRDefault="0029098F" w:rsidP="0029098F">
      <w:pPr>
        <w:pStyle w:val="ListParagraph"/>
        <w:numPr>
          <w:ilvl w:val="3"/>
          <w:numId w:val="5"/>
        </w:numPr>
        <w:contextualSpacing w:val="0"/>
        <w:jc w:val="both"/>
        <w:rPr>
          <w:i/>
          <w:szCs w:val="22"/>
          <w:lang w:eastAsia="zh-CN"/>
        </w:rPr>
      </w:pPr>
      <w:r w:rsidRPr="00F3334B">
        <w:rPr>
          <w:i/>
          <w:szCs w:val="22"/>
          <w:lang w:eastAsia="zh-CN"/>
        </w:rPr>
        <w:t>E.g., drop LTE PUSCH, drop NR PUSCH, etc.</w:t>
      </w:r>
    </w:p>
    <w:p w:rsidR="0029098F" w:rsidRPr="00F3334B" w:rsidRDefault="0029098F" w:rsidP="0029098F">
      <w:pPr>
        <w:pStyle w:val="ListParagraph"/>
        <w:numPr>
          <w:ilvl w:val="2"/>
          <w:numId w:val="5"/>
        </w:numPr>
        <w:contextualSpacing w:val="0"/>
        <w:jc w:val="both"/>
        <w:rPr>
          <w:i/>
          <w:szCs w:val="22"/>
          <w:lang w:eastAsia="zh-CN"/>
        </w:rPr>
      </w:pPr>
      <w:r w:rsidRPr="00F3334B">
        <w:rPr>
          <w:i/>
          <w:szCs w:val="22"/>
          <w:lang w:eastAsia="zh-CN"/>
        </w:rPr>
        <w:t>FFS for the case of NR SRS &amp; NR PRACH</w:t>
      </w:r>
    </w:p>
    <w:p w:rsidR="0029098F" w:rsidRPr="00F3334B" w:rsidRDefault="0029098F" w:rsidP="0029098F">
      <w:pPr>
        <w:pStyle w:val="ListParagraph"/>
        <w:numPr>
          <w:ilvl w:val="1"/>
          <w:numId w:val="5"/>
        </w:numPr>
        <w:contextualSpacing w:val="0"/>
        <w:jc w:val="both"/>
        <w:rPr>
          <w:i/>
          <w:szCs w:val="22"/>
          <w:lang w:eastAsia="zh-CN"/>
        </w:rPr>
      </w:pPr>
      <w:r w:rsidRPr="00F3334B">
        <w:rPr>
          <w:i/>
          <w:szCs w:val="22"/>
          <w:lang w:eastAsia="zh-CN"/>
        </w:rPr>
        <w:t>Note: the impact of switching time (if non-zero) will be further studied.</w:t>
      </w:r>
    </w:p>
    <w:p w:rsidR="0029098F" w:rsidRPr="00F3334B" w:rsidRDefault="0029098F" w:rsidP="0029098F">
      <w:pPr>
        <w:pStyle w:val="ListParagraph"/>
        <w:numPr>
          <w:ilvl w:val="1"/>
          <w:numId w:val="5"/>
        </w:numPr>
        <w:contextualSpacing w:val="0"/>
        <w:jc w:val="both"/>
        <w:rPr>
          <w:i/>
          <w:szCs w:val="22"/>
          <w:lang w:eastAsia="zh-CN"/>
        </w:rPr>
      </w:pPr>
      <w:r w:rsidRPr="00F3334B">
        <w:rPr>
          <w:i/>
          <w:szCs w:val="22"/>
          <w:lang w:eastAsia="zh-CN"/>
        </w:rPr>
        <w:t xml:space="preserve">Note: the above does not assume any restriction between </w:t>
      </w:r>
      <w:proofErr w:type="spellStart"/>
      <w:r w:rsidRPr="00F3334B">
        <w:rPr>
          <w:i/>
          <w:szCs w:val="22"/>
          <w:lang w:eastAsia="zh-CN"/>
        </w:rPr>
        <w:t>gNB</w:t>
      </w:r>
      <w:proofErr w:type="spellEnd"/>
      <w:r w:rsidRPr="00F3334B">
        <w:rPr>
          <w:i/>
          <w:szCs w:val="22"/>
          <w:lang w:eastAsia="zh-CN"/>
        </w:rPr>
        <w:t xml:space="preserve"> and </w:t>
      </w:r>
      <w:proofErr w:type="spellStart"/>
      <w:r w:rsidRPr="00F3334B">
        <w:rPr>
          <w:i/>
          <w:szCs w:val="22"/>
          <w:lang w:eastAsia="zh-CN"/>
        </w:rPr>
        <w:t>eNB</w:t>
      </w:r>
      <w:proofErr w:type="spellEnd"/>
      <w:r w:rsidRPr="00F3334B">
        <w:rPr>
          <w:i/>
          <w:szCs w:val="22"/>
          <w:lang w:eastAsia="zh-CN"/>
        </w:rPr>
        <w:t xml:space="preserve"> (e.g., tight coordination)</w:t>
      </w:r>
    </w:p>
    <w:p w:rsidR="0029098F" w:rsidRPr="00F3334B" w:rsidRDefault="0029098F" w:rsidP="0029098F">
      <w:pPr>
        <w:pStyle w:val="ListParagraph"/>
        <w:numPr>
          <w:ilvl w:val="0"/>
          <w:numId w:val="5"/>
        </w:numPr>
        <w:contextualSpacing w:val="0"/>
        <w:jc w:val="both"/>
        <w:rPr>
          <w:i/>
          <w:szCs w:val="22"/>
          <w:lang w:eastAsia="zh-CN"/>
        </w:rPr>
      </w:pPr>
      <w:r w:rsidRPr="00F3334B">
        <w:rPr>
          <w:i/>
          <w:szCs w:val="22"/>
          <w:lang w:eastAsia="zh-CN"/>
        </w:rPr>
        <w:t xml:space="preserve">FFS: whether/how to support HARQ-offset (similar as in SUO case 1 in EN-DC with LTE FDD </w:t>
      </w:r>
      <w:proofErr w:type="spellStart"/>
      <w:r w:rsidRPr="00F3334B">
        <w:rPr>
          <w:i/>
          <w:szCs w:val="22"/>
          <w:lang w:eastAsia="zh-CN"/>
        </w:rPr>
        <w:t>PCell</w:t>
      </w:r>
      <w:proofErr w:type="spellEnd"/>
      <w:r w:rsidRPr="00F3334B">
        <w:rPr>
          <w:i/>
          <w:szCs w:val="22"/>
          <w:lang w:eastAsia="zh-CN"/>
        </w:rPr>
        <w:t>)</w:t>
      </w:r>
    </w:p>
    <w:p w:rsidR="0029098F" w:rsidRDefault="0029098F" w:rsidP="0029098F">
      <w:pPr>
        <w:jc w:val="both"/>
      </w:pPr>
    </w:p>
    <w:p w:rsidR="0029098F" w:rsidRDefault="0029098F" w:rsidP="0029098F">
      <w:pPr>
        <w:jc w:val="both"/>
      </w:pPr>
    </w:p>
    <w:p w:rsidR="0029098F" w:rsidRDefault="0029098F" w:rsidP="0029098F">
      <w:pPr>
        <w:jc w:val="both"/>
      </w:pPr>
      <w:r>
        <w:t>Regarding subframes not designated ‘UL’ by the LTE UE-specific reference TDD configuration, according to RAN1#96 agreement, UE behavior to account for colliding LTE and NR transmissions is expected to be specified with details FFS. Considering that LTE has slower scheduling timeline than NR, the simplest expected behavior for this is that LTE UL is transmitted, and NR UL is dropped. While the option of keeping NR and dropping LTE was discussed, in our view this option is not always feasible due to the timeline issue.</w:t>
      </w:r>
    </w:p>
    <w:p w:rsidR="0029098F" w:rsidRDefault="0029098F" w:rsidP="0029098F">
      <w:pPr>
        <w:jc w:val="both"/>
      </w:pPr>
    </w:p>
    <w:p w:rsidR="0029098F" w:rsidRDefault="0029098F" w:rsidP="0029098F">
      <w:pPr>
        <w:jc w:val="both"/>
        <w:rPr>
          <w:b/>
          <w:u w:val="single"/>
        </w:rPr>
      </w:pPr>
      <w:r w:rsidRPr="00D154CE">
        <w:rPr>
          <w:b/>
          <w:u w:val="single"/>
        </w:rPr>
        <w:t>Proposal</w:t>
      </w:r>
      <w:r>
        <w:rPr>
          <w:b/>
          <w:u w:val="single"/>
        </w:rPr>
        <w:t xml:space="preserve"> 2</w:t>
      </w:r>
    </w:p>
    <w:p w:rsidR="0029098F" w:rsidRDefault="0029098F" w:rsidP="0029098F">
      <w:pPr>
        <w:jc w:val="both"/>
        <w:rPr>
          <w:b/>
          <w:u w:val="single"/>
        </w:rPr>
      </w:pPr>
    </w:p>
    <w:p w:rsidR="0029098F" w:rsidRDefault="0029098F" w:rsidP="0029098F">
      <w:pPr>
        <w:pStyle w:val="ListParagraph"/>
        <w:numPr>
          <w:ilvl w:val="0"/>
          <w:numId w:val="2"/>
        </w:numPr>
        <w:jc w:val="both"/>
      </w:pPr>
      <w:r>
        <w:t xml:space="preserve">For Case 1 HARQ timing via UE-specific reference TDD configuration for TDD </w:t>
      </w:r>
      <w:proofErr w:type="spellStart"/>
      <w:r>
        <w:t>Pcell</w:t>
      </w:r>
      <w:proofErr w:type="spellEnd"/>
      <w:r>
        <w:t>, for subframes not indicated as ‘UL’ by the reference TDD configuration, the following default UE behavior is supported</w:t>
      </w:r>
    </w:p>
    <w:p w:rsidR="0029098F" w:rsidRDefault="0029098F" w:rsidP="0029098F">
      <w:pPr>
        <w:pStyle w:val="ListParagraph"/>
        <w:numPr>
          <w:ilvl w:val="1"/>
          <w:numId w:val="2"/>
        </w:numPr>
        <w:jc w:val="both"/>
      </w:pPr>
      <w:r>
        <w:t>if there are colliding LTE and NR UL transmissions in the same subframe, the UE is expected to transmit LTE and drop NR.</w:t>
      </w:r>
    </w:p>
    <w:p w:rsidR="0029098F" w:rsidRPr="00836E6C" w:rsidRDefault="0029098F" w:rsidP="0029098F">
      <w:pPr>
        <w:pStyle w:val="Heading2"/>
        <w:rPr>
          <w:u w:val="single"/>
        </w:rPr>
      </w:pPr>
      <w:r>
        <w:rPr>
          <w:u w:val="single"/>
        </w:rPr>
        <w:t>Case 1 HARQ timing for dual uplink EN-DC</w:t>
      </w:r>
    </w:p>
    <w:p w:rsidR="0029098F" w:rsidRDefault="0029098F" w:rsidP="0029098F">
      <w:pPr>
        <w:jc w:val="both"/>
      </w:pPr>
    </w:p>
    <w:p w:rsidR="0029098F" w:rsidRDefault="0029098F" w:rsidP="0029098F">
      <w:pPr>
        <w:jc w:val="both"/>
      </w:pPr>
      <w:r>
        <w:t xml:space="preserve">In RAN#84, following additional objective was added to the MR-DC WID [4]. </w:t>
      </w:r>
    </w:p>
    <w:p w:rsidR="0029098F" w:rsidRDefault="0029098F" w:rsidP="0029098F">
      <w:pPr>
        <w:jc w:val="both"/>
      </w:pPr>
    </w:p>
    <w:p w:rsidR="0029098F" w:rsidRDefault="0029098F" w:rsidP="0029098F">
      <w:pPr>
        <w:jc w:val="both"/>
      </w:pPr>
      <w:r>
        <w:rPr>
          <w:noProof/>
        </w:rPr>
        <w:drawing>
          <wp:inline distT="0" distB="0" distL="0" distR="0" wp14:anchorId="188AEA66" wp14:editId="244EFAA3">
            <wp:extent cx="5760720" cy="534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534035"/>
                    </a:xfrm>
                    <a:prstGeom prst="rect">
                      <a:avLst/>
                    </a:prstGeom>
                  </pic:spPr>
                </pic:pic>
              </a:graphicData>
            </a:graphic>
          </wp:inline>
        </w:drawing>
      </w:r>
    </w:p>
    <w:p w:rsidR="0029098F" w:rsidRDefault="0029098F" w:rsidP="0029098F">
      <w:pPr>
        <w:jc w:val="both"/>
      </w:pPr>
    </w:p>
    <w:p w:rsidR="0029098F" w:rsidRDefault="0029098F" w:rsidP="0029098F">
      <w:pPr>
        <w:jc w:val="both"/>
      </w:pPr>
      <w:r>
        <w:t xml:space="preserve">The Case 1 HARQ timing procedures for LTE FDD </w:t>
      </w:r>
      <w:proofErr w:type="spellStart"/>
      <w:r>
        <w:t>Pcell</w:t>
      </w:r>
      <w:proofErr w:type="spellEnd"/>
      <w:r>
        <w:t xml:space="preserve"> in TS 36.213 (i.e., procedures related to the parameter </w:t>
      </w:r>
      <w:r>
        <w:rPr>
          <w:i/>
        </w:rPr>
        <w:t>subframeAssignment-r15</w:t>
      </w:r>
      <w:r>
        <w:t>) specify the behavior discussed in the newly added objective (i.e., “</w:t>
      </w:r>
      <w:r w:rsidRPr="005B2DD0">
        <w:rPr>
          <w:i/>
        </w:rPr>
        <w:t xml:space="preserve">DL HARQ timing for FDD </w:t>
      </w:r>
      <w:proofErr w:type="spellStart"/>
      <w:r w:rsidRPr="005B2DD0">
        <w:rPr>
          <w:i/>
        </w:rPr>
        <w:t>Scell</w:t>
      </w:r>
      <w:proofErr w:type="spellEnd"/>
      <w:r w:rsidRPr="005B2DD0">
        <w:rPr>
          <w:i/>
        </w:rPr>
        <w:t xml:space="preserve"> for LTE TDD-FDD CA with TDD </w:t>
      </w:r>
      <w:proofErr w:type="spellStart"/>
      <w:r w:rsidRPr="005B2DD0">
        <w:rPr>
          <w:i/>
        </w:rPr>
        <w:t>Pcell</w:t>
      </w:r>
      <w:proofErr w:type="spellEnd"/>
      <w:r w:rsidRPr="005B2DD0">
        <w:rPr>
          <w:i/>
        </w:rPr>
        <w:t xml:space="preserve">, applied to FDD </w:t>
      </w:r>
      <w:proofErr w:type="spellStart"/>
      <w:r w:rsidRPr="005B2DD0">
        <w:rPr>
          <w:i/>
        </w:rPr>
        <w:t>Pcell</w:t>
      </w:r>
      <w:proofErr w:type="spellEnd"/>
      <w:r w:rsidRPr="005B2DD0">
        <w:rPr>
          <w:i/>
        </w:rPr>
        <w:t>”</w:t>
      </w:r>
      <w:r>
        <w:t>). No changes to 36.213 are required to enable these procedures for dual uplink EN-DC case.</w:t>
      </w:r>
    </w:p>
    <w:p w:rsidR="0029098F" w:rsidRDefault="0029098F" w:rsidP="0029098F">
      <w:pPr>
        <w:jc w:val="both"/>
      </w:pPr>
    </w:p>
    <w:p w:rsidR="0029098F" w:rsidRDefault="0029098F" w:rsidP="0029098F">
      <w:pPr>
        <w:jc w:val="both"/>
        <w:rPr>
          <w:b/>
          <w:u w:val="single"/>
        </w:rPr>
      </w:pPr>
      <w:r w:rsidRPr="00B37EA5">
        <w:rPr>
          <w:b/>
          <w:u w:val="single"/>
        </w:rPr>
        <w:t>Observation</w:t>
      </w:r>
    </w:p>
    <w:p w:rsidR="0029098F" w:rsidRPr="00845331" w:rsidRDefault="0029098F" w:rsidP="0029098F">
      <w:pPr>
        <w:pStyle w:val="ListParagraph"/>
        <w:numPr>
          <w:ilvl w:val="0"/>
          <w:numId w:val="2"/>
        </w:numPr>
        <w:jc w:val="both"/>
        <w:rPr>
          <w:b/>
          <w:u w:val="single"/>
        </w:rPr>
      </w:pPr>
      <w:r>
        <w:t xml:space="preserve">Case 1 HARQ timing procedures for LTE FDD </w:t>
      </w:r>
      <w:proofErr w:type="spellStart"/>
      <w:r>
        <w:t>Pcell</w:t>
      </w:r>
      <w:proofErr w:type="spellEnd"/>
      <w:r>
        <w:t xml:space="preserve"> in TS 36.213 (i.e., procedures related to the parameter </w:t>
      </w:r>
      <w:r>
        <w:rPr>
          <w:i/>
        </w:rPr>
        <w:t>subframeAssignment-r15</w:t>
      </w:r>
      <w:r>
        <w:t>) specify the behavior (i.e., “</w:t>
      </w:r>
      <w:r w:rsidRPr="005B2DD0">
        <w:rPr>
          <w:i/>
        </w:rPr>
        <w:t xml:space="preserve">DL HARQ timing for FDD </w:t>
      </w:r>
      <w:proofErr w:type="spellStart"/>
      <w:r w:rsidRPr="005B2DD0">
        <w:rPr>
          <w:i/>
        </w:rPr>
        <w:t>Scell</w:t>
      </w:r>
      <w:proofErr w:type="spellEnd"/>
      <w:r w:rsidRPr="005B2DD0">
        <w:rPr>
          <w:i/>
        </w:rPr>
        <w:t xml:space="preserve"> for LTE TDD-FDD CA with TDD </w:t>
      </w:r>
      <w:proofErr w:type="spellStart"/>
      <w:r w:rsidRPr="005B2DD0">
        <w:rPr>
          <w:i/>
        </w:rPr>
        <w:t>Pcell</w:t>
      </w:r>
      <w:proofErr w:type="spellEnd"/>
      <w:r w:rsidRPr="005B2DD0">
        <w:rPr>
          <w:i/>
        </w:rPr>
        <w:t xml:space="preserve">, applied to FDD </w:t>
      </w:r>
      <w:proofErr w:type="spellStart"/>
      <w:r w:rsidRPr="005B2DD0">
        <w:rPr>
          <w:i/>
        </w:rPr>
        <w:t>Pcell</w:t>
      </w:r>
      <w:proofErr w:type="spellEnd"/>
      <w:r w:rsidRPr="005B2DD0">
        <w:rPr>
          <w:i/>
        </w:rPr>
        <w:t>”</w:t>
      </w:r>
      <w:r>
        <w:t xml:space="preserve">) discussed in the newly added objective related to dual uplink EN-DC. </w:t>
      </w:r>
    </w:p>
    <w:p w:rsidR="0029098F" w:rsidRPr="00B37EA5" w:rsidRDefault="0029098F" w:rsidP="0029098F">
      <w:pPr>
        <w:pStyle w:val="ListParagraph"/>
        <w:numPr>
          <w:ilvl w:val="0"/>
          <w:numId w:val="2"/>
        </w:numPr>
        <w:jc w:val="both"/>
        <w:rPr>
          <w:b/>
          <w:u w:val="single"/>
        </w:rPr>
      </w:pPr>
      <w:r>
        <w:lastRenderedPageBreak/>
        <w:t>No changes to RAN1 specs are needed to enable these procedures for dual uplink EN-DC case.</w:t>
      </w:r>
    </w:p>
    <w:p w:rsidR="0029098F" w:rsidRDefault="0029098F" w:rsidP="0029098F">
      <w:pPr>
        <w:pStyle w:val="Heading1"/>
      </w:pPr>
      <w:r>
        <w:t>Conclusions</w:t>
      </w:r>
    </w:p>
    <w:p w:rsidR="0029098F" w:rsidRPr="003C7A68" w:rsidRDefault="0029098F" w:rsidP="0029098F">
      <w:pPr>
        <w:pStyle w:val="BodyText"/>
        <w:rPr>
          <w:lang w:val="en-AU"/>
        </w:rPr>
      </w:pPr>
      <w:r>
        <w:t xml:space="preserve">In this document, we discuss </w:t>
      </w:r>
      <w:r>
        <w:rPr>
          <w:lang w:val="en-AU"/>
        </w:rPr>
        <w:t>some approaches for improving single-</w:t>
      </w:r>
      <w:proofErr w:type="spellStart"/>
      <w:r>
        <w:rPr>
          <w:lang w:val="en-AU"/>
        </w:rPr>
        <w:t>tx</w:t>
      </w:r>
      <w:proofErr w:type="spellEnd"/>
      <w:r>
        <w:rPr>
          <w:lang w:val="en-AU"/>
        </w:rPr>
        <w:t xml:space="preserve"> operation for EN-DC and propose the following</w:t>
      </w:r>
    </w:p>
    <w:p w:rsidR="0029098F" w:rsidRDefault="0029098F" w:rsidP="0029098F">
      <w:pPr>
        <w:jc w:val="both"/>
        <w:rPr>
          <w:b/>
          <w:u w:val="single"/>
        </w:rPr>
      </w:pPr>
      <w:r w:rsidRPr="00D154CE">
        <w:rPr>
          <w:b/>
          <w:u w:val="single"/>
        </w:rPr>
        <w:t>Proposal</w:t>
      </w:r>
      <w:r>
        <w:rPr>
          <w:b/>
          <w:u w:val="single"/>
        </w:rPr>
        <w:t xml:space="preserve"> 1</w:t>
      </w:r>
    </w:p>
    <w:p w:rsidR="0029098F" w:rsidRDefault="0029098F" w:rsidP="0029098F">
      <w:pPr>
        <w:jc w:val="both"/>
        <w:rPr>
          <w:b/>
          <w:u w:val="single"/>
        </w:rPr>
      </w:pPr>
    </w:p>
    <w:p w:rsidR="0029098F" w:rsidRPr="00B2308A" w:rsidRDefault="0029098F" w:rsidP="0029098F">
      <w:pPr>
        <w:pStyle w:val="ListParagraph"/>
        <w:numPr>
          <w:ilvl w:val="0"/>
          <w:numId w:val="3"/>
        </w:numPr>
        <w:jc w:val="both"/>
        <w:rPr>
          <w:b/>
          <w:u w:val="single"/>
        </w:rPr>
      </w:pPr>
      <w:r>
        <w:t>Following enhancement for PRACH should be supported</w:t>
      </w:r>
    </w:p>
    <w:p w:rsidR="0029098F" w:rsidRPr="00786B5A" w:rsidRDefault="0029098F" w:rsidP="0029098F">
      <w:pPr>
        <w:pStyle w:val="ListParagraph"/>
        <w:numPr>
          <w:ilvl w:val="1"/>
          <w:numId w:val="3"/>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rsidR="0029098F" w:rsidRPr="00A86798" w:rsidRDefault="0029098F" w:rsidP="0029098F">
      <w:pPr>
        <w:pStyle w:val="ListParagraph"/>
        <w:numPr>
          <w:ilvl w:val="2"/>
          <w:numId w:val="3"/>
        </w:numPr>
        <w:jc w:val="both"/>
        <w:rPr>
          <w:b/>
          <w:u w:val="single"/>
        </w:rPr>
      </w:pPr>
      <w:r>
        <w:t>If the UE’s LTE PRACH transmission collides with an NR UL transmission, PRACH transmission is prioritized.</w:t>
      </w:r>
    </w:p>
    <w:p w:rsidR="0029098F" w:rsidRDefault="0029098F" w:rsidP="0029098F">
      <w:pPr>
        <w:jc w:val="both"/>
        <w:rPr>
          <w:b/>
          <w:u w:val="single"/>
        </w:rPr>
      </w:pPr>
      <w:r w:rsidRPr="00D154CE">
        <w:rPr>
          <w:b/>
          <w:u w:val="single"/>
        </w:rPr>
        <w:t>Proposal</w:t>
      </w:r>
      <w:r>
        <w:rPr>
          <w:b/>
          <w:u w:val="single"/>
        </w:rPr>
        <w:t xml:space="preserve"> 2</w:t>
      </w:r>
    </w:p>
    <w:p w:rsidR="0029098F" w:rsidRDefault="0029098F" w:rsidP="0029098F">
      <w:pPr>
        <w:jc w:val="both"/>
        <w:rPr>
          <w:b/>
          <w:u w:val="single"/>
        </w:rPr>
      </w:pPr>
    </w:p>
    <w:p w:rsidR="0029098F" w:rsidRDefault="0029098F" w:rsidP="0029098F">
      <w:pPr>
        <w:pStyle w:val="ListParagraph"/>
        <w:numPr>
          <w:ilvl w:val="0"/>
          <w:numId w:val="2"/>
        </w:numPr>
        <w:jc w:val="both"/>
      </w:pPr>
      <w:r>
        <w:t xml:space="preserve">For Case 1 HARQ timing via UE-specific reference TDD configuration for TDD </w:t>
      </w:r>
      <w:proofErr w:type="spellStart"/>
      <w:r>
        <w:t>Pcell</w:t>
      </w:r>
      <w:proofErr w:type="spellEnd"/>
      <w:r>
        <w:t>, for subframes not indicated as ‘UL’ by the reference TDD configuration, the following default UE behavior is supported</w:t>
      </w:r>
    </w:p>
    <w:p w:rsidR="0029098F" w:rsidRDefault="0029098F" w:rsidP="0029098F">
      <w:pPr>
        <w:pStyle w:val="ListParagraph"/>
        <w:numPr>
          <w:ilvl w:val="1"/>
          <w:numId w:val="2"/>
        </w:numPr>
        <w:jc w:val="both"/>
      </w:pPr>
      <w:r>
        <w:t>if there are colliding LTE and NR UL transmissions in the same subframe, the UE is expected to transmit LTE and drop NR.</w:t>
      </w:r>
    </w:p>
    <w:p w:rsidR="0029098F" w:rsidRDefault="0029098F" w:rsidP="0029098F">
      <w:pPr>
        <w:pStyle w:val="ListParagraph"/>
        <w:ind w:left="1440"/>
        <w:rPr>
          <w:b/>
          <w:u w:val="single"/>
        </w:rPr>
      </w:pPr>
    </w:p>
    <w:p w:rsidR="0029098F" w:rsidRDefault="0029098F" w:rsidP="0029098F">
      <w:pPr>
        <w:pStyle w:val="ListParagraph"/>
        <w:ind w:left="0"/>
      </w:pPr>
      <w:r>
        <w:t>We also discuss the new objective related to dual uplink EN-DC and make the following observation</w:t>
      </w:r>
    </w:p>
    <w:p w:rsidR="0029098F" w:rsidRDefault="0029098F" w:rsidP="0029098F">
      <w:pPr>
        <w:pStyle w:val="ListParagraph"/>
        <w:ind w:left="0"/>
      </w:pPr>
    </w:p>
    <w:p w:rsidR="0029098F" w:rsidRDefault="0029098F" w:rsidP="0029098F">
      <w:pPr>
        <w:jc w:val="both"/>
        <w:rPr>
          <w:b/>
          <w:u w:val="single"/>
        </w:rPr>
      </w:pPr>
      <w:r w:rsidRPr="00B37EA5">
        <w:rPr>
          <w:b/>
          <w:u w:val="single"/>
        </w:rPr>
        <w:t>Observation</w:t>
      </w:r>
    </w:p>
    <w:p w:rsidR="0029098F" w:rsidRPr="00845331" w:rsidRDefault="0029098F" w:rsidP="0029098F">
      <w:pPr>
        <w:pStyle w:val="ListParagraph"/>
        <w:numPr>
          <w:ilvl w:val="0"/>
          <w:numId w:val="2"/>
        </w:numPr>
        <w:jc w:val="both"/>
        <w:rPr>
          <w:b/>
          <w:u w:val="single"/>
        </w:rPr>
      </w:pPr>
      <w:r>
        <w:t xml:space="preserve">Case 1 HARQ timing procedures for LTE FDD </w:t>
      </w:r>
      <w:proofErr w:type="spellStart"/>
      <w:r>
        <w:t>Pcell</w:t>
      </w:r>
      <w:proofErr w:type="spellEnd"/>
      <w:r>
        <w:t xml:space="preserve"> in TS 36.213 (i.e., procedures related to the parameter </w:t>
      </w:r>
      <w:r>
        <w:rPr>
          <w:i/>
        </w:rPr>
        <w:t>subframeAssignment-r15</w:t>
      </w:r>
      <w:r>
        <w:t>) specify the behavior discussed in the newly added objective related to dual uplink EN-DC (i.e., “</w:t>
      </w:r>
      <w:r w:rsidRPr="005B2DD0">
        <w:rPr>
          <w:i/>
        </w:rPr>
        <w:t xml:space="preserve">DL HARQ timing for FDD </w:t>
      </w:r>
      <w:proofErr w:type="spellStart"/>
      <w:r w:rsidRPr="005B2DD0">
        <w:rPr>
          <w:i/>
        </w:rPr>
        <w:t>Scell</w:t>
      </w:r>
      <w:proofErr w:type="spellEnd"/>
      <w:r w:rsidRPr="005B2DD0">
        <w:rPr>
          <w:i/>
        </w:rPr>
        <w:t xml:space="preserve"> for LTE TDD-FDD CA with TDD </w:t>
      </w:r>
      <w:proofErr w:type="spellStart"/>
      <w:r w:rsidRPr="005B2DD0">
        <w:rPr>
          <w:i/>
        </w:rPr>
        <w:t>Pcell</w:t>
      </w:r>
      <w:proofErr w:type="spellEnd"/>
      <w:r w:rsidRPr="005B2DD0">
        <w:rPr>
          <w:i/>
        </w:rPr>
        <w:t xml:space="preserve">, applied to FDD </w:t>
      </w:r>
      <w:proofErr w:type="spellStart"/>
      <w:r w:rsidRPr="005B2DD0">
        <w:rPr>
          <w:i/>
        </w:rPr>
        <w:t>Pcell</w:t>
      </w:r>
      <w:proofErr w:type="spellEnd"/>
      <w:r w:rsidRPr="005B2DD0">
        <w:rPr>
          <w:i/>
        </w:rPr>
        <w:t>”</w:t>
      </w:r>
      <w:r>
        <w:t xml:space="preserve">). </w:t>
      </w:r>
    </w:p>
    <w:p w:rsidR="0029098F" w:rsidRPr="00B37EA5" w:rsidRDefault="0029098F" w:rsidP="0029098F">
      <w:pPr>
        <w:pStyle w:val="ListParagraph"/>
        <w:numPr>
          <w:ilvl w:val="0"/>
          <w:numId w:val="2"/>
        </w:numPr>
        <w:jc w:val="both"/>
        <w:rPr>
          <w:b/>
          <w:u w:val="single"/>
        </w:rPr>
      </w:pPr>
      <w:r>
        <w:t>No changes to RAN1 specs are needed to enable these procedures for dual uplink EN-DC case.</w:t>
      </w:r>
    </w:p>
    <w:p w:rsidR="0029098F" w:rsidRPr="00845331" w:rsidRDefault="0029098F" w:rsidP="0029098F">
      <w:pPr>
        <w:pStyle w:val="ListParagraph"/>
        <w:ind w:left="0"/>
      </w:pPr>
    </w:p>
    <w:p w:rsidR="0029098F" w:rsidRDefault="0029098F" w:rsidP="0029098F">
      <w:pPr>
        <w:pStyle w:val="Heading1"/>
      </w:pPr>
      <w:bookmarkStart w:id="4" w:name="_GoBack"/>
      <w:bookmarkEnd w:id="4"/>
      <w:r>
        <w:t>References</w:t>
      </w:r>
    </w:p>
    <w:p w:rsidR="0029098F" w:rsidRDefault="0029098F" w:rsidP="0029098F">
      <w:pPr>
        <w:pStyle w:val="BodyText"/>
      </w:pPr>
      <w:r w:rsidRPr="00DA3D01">
        <w:t>[1] R</w:t>
      </w:r>
      <w:r>
        <w:t>P</w:t>
      </w:r>
      <w:r w:rsidRPr="00DA3D01">
        <w:t>-18</w:t>
      </w:r>
      <w:r>
        <w:t>2076</w:t>
      </w:r>
      <w:r w:rsidRPr="00DA3D01">
        <w:t xml:space="preserve"> – “</w:t>
      </w:r>
      <w:r w:rsidRPr="003746C8">
        <w:t>WID on Multi-RAT Dual-Connectivity and Carrier Aggregation enhancements</w:t>
      </w:r>
      <w:r w:rsidRPr="00DA3D01">
        <w:t xml:space="preserve">”, </w:t>
      </w:r>
      <w:r w:rsidRPr="008E155B">
        <w:t>Ericsson, Nokia, Nokia Shanghai Bell, Huawei</w:t>
      </w:r>
      <w:r>
        <w:t xml:space="preserve">, </w:t>
      </w:r>
      <w:r w:rsidRPr="00DA3D01">
        <w:t>RAN#</w:t>
      </w:r>
      <w:r>
        <w:t>81</w:t>
      </w:r>
      <w:r w:rsidRPr="00DA3D01">
        <w:t xml:space="preserve">, </w:t>
      </w:r>
      <w:r>
        <w:t>Gold coast</w:t>
      </w:r>
      <w:r w:rsidRPr="00DA3D01">
        <w:t xml:space="preserve">, </w:t>
      </w:r>
      <w:r>
        <w:t>Australia</w:t>
      </w:r>
      <w:r w:rsidRPr="00DA3D01">
        <w:t xml:space="preserve">, </w:t>
      </w:r>
      <w:r>
        <w:t>September</w:t>
      </w:r>
      <w:r w:rsidRPr="00DA3D01">
        <w:t xml:space="preserve"> 2018.</w:t>
      </w:r>
    </w:p>
    <w:p w:rsidR="0029098F" w:rsidRDefault="0029098F" w:rsidP="0029098F">
      <w:pPr>
        <w:pStyle w:val="BodyText"/>
      </w:pPr>
      <w:r>
        <w:t xml:space="preserve">[2] </w:t>
      </w:r>
      <w:r w:rsidRPr="00F226E3">
        <w:t>R1-1900921</w:t>
      </w:r>
      <w:r>
        <w:t xml:space="preserve"> – “</w:t>
      </w:r>
      <w:r w:rsidRPr="00F226E3">
        <w:t>Enhancements for EN-DC Single-Tx TDM Operation</w:t>
      </w:r>
      <w:r>
        <w:t xml:space="preserve">”, </w:t>
      </w:r>
      <w:r w:rsidRPr="00F226E3">
        <w:t>Qualcomm</w:t>
      </w:r>
      <w:r>
        <w:t>, RAN1 NR Ad-hoc 1901, Taipei, Taiwan, January 2019.</w:t>
      </w:r>
    </w:p>
    <w:p w:rsidR="0029098F" w:rsidRDefault="0029098F" w:rsidP="0029098F">
      <w:pPr>
        <w:pStyle w:val="BodyText"/>
      </w:pPr>
      <w:r>
        <w:t xml:space="preserve">[3] </w:t>
      </w:r>
      <w:r w:rsidRPr="00F226E3">
        <w:t>R1-1900755</w:t>
      </w:r>
      <w:r>
        <w:t xml:space="preserve"> – “</w:t>
      </w:r>
      <w:r w:rsidRPr="00F226E3">
        <w:t xml:space="preserve">Single Tx switched UL support for EN-DC with LTE TDD </w:t>
      </w:r>
      <w:proofErr w:type="spellStart"/>
      <w:r w:rsidRPr="00F226E3">
        <w:t>Pcell</w:t>
      </w:r>
      <w:proofErr w:type="spellEnd"/>
      <w:r>
        <w:t>”, Apple, RAN1 NR Ad-hoc 1901, Taipei, Taiwan, January 2019.</w:t>
      </w:r>
    </w:p>
    <w:p w:rsidR="0029098F" w:rsidRDefault="0029098F" w:rsidP="0029098F">
      <w:pPr>
        <w:pStyle w:val="BodyText"/>
      </w:pPr>
      <w:r>
        <w:t>[4] RP-191600 – “</w:t>
      </w:r>
      <w:r w:rsidRPr="0018357B">
        <w:t>Revised WID: Multi-RAT Dual-Connectivity and Carrier Aggregation enhancements</w:t>
      </w:r>
      <w:r>
        <w:t xml:space="preserve">”, </w:t>
      </w:r>
      <w:r w:rsidRPr="0018357B">
        <w:t>Ericsson, Nokia, Nokia Shanghai Bell</w:t>
      </w:r>
      <w:r>
        <w:t>, RAN#84, Newport beach, USA, June 2019.</w:t>
      </w:r>
    </w:p>
    <w:p w:rsidR="0029098F" w:rsidRDefault="0029098F" w:rsidP="0029098F">
      <w:pPr>
        <w:pStyle w:val="BodyText"/>
        <w:keepNext/>
        <w:tabs>
          <w:tab w:val="left" w:pos="1134"/>
        </w:tabs>
        <w:spacing w:before="240" w:after="60"/>
        <w:jc w:val="left"/>
        <w:outlineLvl w:val="0"/>
      </w:pPr>
    </w:p>
    <w:p w:rsidR="0029098F" w:rsidRDefault="0029098F" w:rsidP="0029098F"/>
    <w:p w:rsidR="00535BE6" w:rsidRDefault="00535BE6"/>
    <w:sectPr w:rsidR="00535BE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06DE" w:rsidRDefault="000206DE">
      <w:r>
        <w:separator/>
      </w:r>
    </w:p>
  </w:endnote>
  <w:endnote w:type="continuationSeparator" w:id="0">
    <w:p w:rsidR="000206DE" w:rsidRDefault="0002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06DE" w:rsidRDefault="000206DE">
      <w:r>
        <w:separator/>
      </w:r>
    </w:p>
  </w:footnote>
  <w:footnote w:type="continuationSeparator" w:id="0">
    <w:p w:rsidR="000206DE" w:rsidRDefault="00020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2CA" w:rsidRDefault="000206DE"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D1EB9"/>
    <w:multiLevelType w:val="hybridMultilevel"/>
    <w:tmpl w:val="70C6C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98F"/>
    <w:rsid w:val="000206DE"/>
    <w:rsid w:val="0029098F"/>
    <w:rsid w:val="00535BE6"/>
    <w:rsid w:val="00890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098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29098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29098F"/>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9098F"/>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9098F"/>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9098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29098F"/>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9098F"/>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98F"/>
    <w:rPr>
      <w:rFonts w:ascii="Times New Roman" w:eastAsia="MS Mincho" w:hAnsi="Times New Roman" w:cs="Times New Roman"/>
      <w:b/>
      <w:bCs/>
      <w:sz w:val="28"/>
      <w:szCs w:val="28"/>
    </w:rPr>
  </w:style>
  <w:style w:type="paragraph" w:styleId="BodyText">
    <w:name w:val="Body Text"/>
    <w:aliases w:val="bt"/>
    <w:basedOn w:val="Normal"/>
    <w:link w:val="BodyTextChar"/>
    <w:rsid w:val="0029098F"/>
    <w:pPr>
      <w:spacing w:after="120"/>
      <w:jc w:val="both"/>
    </w:pPr>
    <w:rPr>
      <w:rFonts w:eastAsia="MS Mincho"/>
    </w:rPr>
  </w:style>
  <w:style w:type="character" w:customStyle="1" w:styleId="BodyTextChar">
    <w:name w:val="Body Text Char"/>
    <w:aliases w:val="bt Char"/>
    <w:basedOn w:val="DefaultParagraphFont"/>
    <w:link w:val="BodyText"/>
    <w:rsid w:val="0029098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9098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9098F"/>
    <w:rPr>
      <w:rFonts w:ascii="Arial" w:eastAsia="MS Mincho" w:hAnsi="Arial" w:cs="Times New Roman"/>
      <w:b/>
      <w:sz w:val="20"/>
      <w:szCs w:val="24"/>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29098F"/>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29098F"/>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2909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098F"/>
    <w:rPr>
      <w:rFonts w:ascii="Segoe UI" w:eastAsia="Times New Roman" w:hAnsi="Segoe UI" w:cs="Segoe UI"/>
      <w:sz w:val="18"/>
      <w:szCs w:val="18"/>
    </w:rPr>
  </w:style>
  <w:style w:type="paragraph" w:styleId="Footer">
    <w:name w:val="footer"/>
    <w:basedOn w:val="Normal"/>
    <w:link w:val="FooterChar"/>
    <w:uiPriority w:val="99"/>
    <w:unhideWhenUsed/>
    <w:rsid w:val="00890CC4"/>
    <w:pPr>
      <w:tabs>
        <w:tab w:val="center" w:pos="4680"/>
        <w:tab w:val="right" w:pos="9360"/>
      </w:tabs>
    </w:pPr>
  </w:style>
  <w:style w:type="character" w:customStyle="1" w:styleId="FooterChar">
    <w:name w:val="Footer Char"/>
    <w:basedOn w:val="DefaultParagraphFont"/>
    <w:link w:val="Footer"/>
    <w:uiPriority w:val="99"/>
    <w:rsid w:val="00890CC4"/>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1181</Words>
  <Characters>6735</Characters>
  <Application>Microsoft Office Word</Application>
  <DocSecurity>0</DocSecurity>
  <Lines>56</Lines>
  <Paragraphs>15</Paragraphs>
  <ScaleCrop>false</ScaleCrop>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2019-10-05T04:20:00Z</dcterms:created>
  <dcterms:modified xsi:type="dcterms:W3CDTF">2019-10-05T04:20:00Z</dcterms:modified>
</cp:coreProperties>
</file>